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58" w:rsidRDefault="00761058" w:rsidP="00761058">
      <w:pPr>
        <w:jc w:val="center"/>
        <w:rPr>
          <w:rFonts w:ascii="Arial" w:hAnsi="Arial" w:cs="Arial"/>
          <w:sz w:val="24"/>
          <w:szCs w:val="24"/>
        </w:rPr>
      </w:pPr>
      <w:r>
        <w:rPr>
          <w:rFonts w:ascii="Arial" w:hAnsi="Arial" w:cs="Arial"/>
          <w:b/>
          <w:bCs/>
          <w:color w:val="FF0000"/>
          <w:sz w:val="24"/>
          <w:szCs w:val="24"/>
        </w:rPr>
        <w:t>*Embargoed until 00.01am on Monday 13</w:t>
      </w:r>
      <w:r>
        <w:rPr>
          <w:rFonts w:ascii="Arial" w:hAnsi="Arial" w:cs="Arial"/>
          <w:b/>
          <w:bCs/>
          <w:color w:val="FF0000"/>
          <w:sz w:val="24"/>
          <w:szCs w:val="24"/>
          <w:vertAlign w:val="superscript"/>
        </w:rPr>
        <w:t>th</w:t>
      </w:r>
      <w:r>
        <w:rPr>
          <w:rFonts w:ascii="Arial" w:hAnsi="Arial" w:cs="Arial"/>
          <w:b/>
          <w:bCs/>
          <w:color w:val="FF0000"/>
          <w:sz w:val="24"/>
          <w:szCs w:val="24"/>
        </w:rPr>
        <w:t xml:space="preserve"> April*</w:t>
      </w:r>
    </w:p>
    <w:p w:rsidR="00761058" w:rsidRDefault="00761058" w:rsidP="00761058">
      <w:pPr>
        <w:jc w:val="center"/>
        <w:rPr>
          <w:rFonts w:ascii="Arial" w:hAnsi="Arial" w:cs="Arial"/>
          <w:sz w:val="24"/>
          <w:szCs w:val="24"/>
        </w:rPr>
      </w:pPr>
      <w:r>
        <w:rPr>
          <w:rFonts w:ascii="Arial" w:hAnsi="Arial" w:cs="Arial"/>
          <w:b/>
          <w:bCs/>
          <w:sz w:val="24"/>
          <w:szCs w:val="24"/>
        </w:rPr>
        <w:t> </w:t>
      </w:r>
    </w:p>
    <w:p w:rsidR="00761058" w:rsidRDefault="00761058" w:rsidP="00761058">
      <w:pPr>
        <w:jc w:val="center"/>
        <w:rPr>
          <w:rFonts w:ascii="Arial" w:hAnsi="Arial" w:cs="Arial"/>
          <w:sz w:val="24"/>
          <w:szCs w:val="24"/>
        </w:rPr>
      </w:pPr>
      <w:r>
        <w:rPr>
          <w:rFonts w:ascii="Arial" w:hAnsi="Arial" w:cs="Arial"/>
          <w:b/>
          <w:bCs/>
          <w:sz w:val="24"/>
          <w:szCs w:val="24"/>
        </w:rPr>
        <w:t xml:space="preserve">Who is Nigel </w:t>
      </w:r>
      <w:proofErr w:type="spellStart"/>
      <w:r>
        <w:rPr>
          <w:rFonts w:ascii="Arial" w:hAnsi="Arial" w:cs="Arial"/>
          <w:b/>
          <w:bCs/>
          <w:sz w:val="24"/>
          <w:szCs w:val="24"/>
        </w:rPr>
        <w:t>Dodds</w:t>
      </w:r>
      <w:proofErr w:type="spellEnd"/>
      <w:r>
        <w:rPr>
          <w:rFonts w:ascii="Arial" w:hAnsi="Arial" w:cs="Arial"/>
          <w:b/>
          <w:bCs/>
          <w:sz w:val="24"/>
          <w:szCs w:val="24"/>
        </w:rPr>
        <w:t xml:space="preserve">?  </w:t>
      </w:r>
    </w:p>
    <w:p w:rsidR="00761058" w:rsidRDefault="00761058" w:rsidP="00761058">
      <w:pPr>
        <w:jc w:val="center"/>
        <w:rPr>
          <w:rFonts w:ascii="Arial" w:hAnsi="Arial" w:cs="Arial"/>
          <w:sz w:val="24"/>
          <w:szCs w:val="24"/>
        </w:rPr>
      </w:pPr>
      <w:r>
        <w:rPr>
          <w:rFonts w:ascii="Arial" w:hAnsi="Arial" w:cs="Arial"/>
          <w:b/>
          <w:bCs/>
          <w:sz w:val="24"/>
          <w:szCs w:val="24"/>
        </w:rPr>
        <w:t>The little known politician who could be kingmaker in election</w:t>
      </w:r>
    </w:p>
    <w:p w:rsidR="00761058" w:rsidRDefault="00761058" w:rsidP="00761058">
      <w:pPr>
        <w:rPr>
          <w:rFonts w:ascii="Arial" w:hAnsi="Arial" w:cs="Arial"/>
          <w:sz w:val="24"/>
          <w:szCs w:val="24"/>
        </w:rPr>
      </w:pPr>
      <w:r>
        <w:rPr>
          <w:rFonts w:ascii="Arial" w:hAnsi="Arial" w:cs="Arial"/>
          <w:sz w:val="24"/>
          <w:szCs w:val="24"/>
        </w:rPr>
        <w:t> </w:t>
      </w:r>
    </w:p>
    <w:p w:rsidR="00761058" w:rsidRDefault="00761058" w:rsidP="00761058">
      <w:pPr>
        <w:jc w:val="center"/>
        <w:rPr>
          <w:rFonts w:ascii="Arial" w:hAnsi="Arial" w:cs="Arial"/>
          <w:sz w:val="24"/>
          <w:szCs w:val="24"/>
        </w:rPr>
      </w:pPr>
      <w:r>
        <w:rPr>
          <w:rFonts w:ascii="Arial" w:hAnsi="Arial" w:cs="Arial"/>
          <w:sz w:val="24"/>
          <w:szCs w:val="24"/>
        </w:rPr>
        <w:t>Stratagem and PLMR poll reveals:</w:t>
      </w:r>
    </w:p>
    <w:p w:rsidR="00761058" w:rsidRDefault="00761058" w:rsidP="00761058">
      <w:pPr>
        <w:pStyle w:val="ListParagraph"/>
        <w:ind w:left="1080" w:hanging="360"/>
        <w:jc w:val="center"/>
        <w:rPr>
          <w:rFonts w:ascii="Arial" w:hAnsi="Arial" w:cs="Arial"/>
        </w:rPr>
      </w:pPr>
      <w:r>
        <w:rPr>
          <w:rFonts w:ascii="Arial" w:hAnsi="Arial" w:cs="Arial"/>
        </w:rPr>
        <w:t xml:space="preserve">·         69% of British adults have never heard of Nigel </w:t>
      </w:r>
      <w:proofErr w:type="spellStart"/>
      <w:r>
        <w:rPr>
          <w:rFonts w:ascii="Arial" w:hAnsi="Arial" w:cs="Arial"/>
        </w:rPr>
        <w:t>Dodds</w:t>
      </w:r>
      <w:proofErr w:type="spellEnd"/>
      <w:r>
        <w:rPr>
          <w:rFonts w:ascii="Arial" w:hAnsi="Arial" w:cs="Arial"/>
        </w:rPr>
        <w:t>, Westminster leader of the DUP</w:t>
      </w:r>
    </w:p>
    <w:p w:rsidR="00761058" w:rsidRDefault="00761058" w:rsidP="00761058">
      <w:pPr>
        <w:jc w:val="both"/>
        <w:rPr>
          <w:rFonts w:ascii="Arial" w:hAnsi="Arial" w:cs="Arial"/>
          <w:sz w:val="24"/>
          <w:szCs w:val="24"/>
        </w:rPr>
      </w:pPr>
      <w:r>
        <w:rPr>
          <w:rFonts w:ascii="Arial" w:hAnsi="Arial" w:cs="Arial"/>
          <w:sz w:val="24"/>
          <w:szCs w:val="24"/>
        </w:rPr>
        <w:t xml:space="preserve">A poll from Stratagem, PLMR and </w:t>
      </w:r>
      <w:proofErr w:type="spellStart"/>
      <w:r>
        <w:rPr>
          <w:rFonts w:ascii="Arial" w:hAnsi="Arial" w:cs="Arial"/>
          <w:sz w:val="24"/>
          <w:szCs w:val="24"/>
        </w:rPr>
        <w:t>ComRes</w:t>
      </w:r>
      <w:proofErr w:type="spellEnd"/>
      <w:r>
        <w:rPr>
          <w:rFonts w:ascii="Arial" w:hAnsi="Arial" w:cs="Arial"/>
          <w:sz w:val="24"/>
          <w:szCs w:val="24"/>
        </w:rPr>
        <w:t xml:space="preserve"> has revealed only three in ten British adults say they have heard of Nigel </w:t>
      </w:r>
      <w:proofErr w:type="spellStart"/>
      <w:r>
        <w:rPr>
          <w:rFonts w:ascii="Arial" w:hAnsi="Arial" w:cs="Arial"/>
          <w:sz w:val="24"/>
          <w:szCs w:val="24"/>
        </w:rPr>
        <w:t>Dodds</w:t>
      </w:r>
      <w:proofErr w:type="spellEnd"/>
      <w:r>
        <w:rPr>
          <w:rFonts w:ascii="Arial" w:hAnsi="Arial" w:cs="Arial"/>
          <w:sz w:val="24"/>
          <w:szCs w:val="24"/>
        </w:rPr>
        <w:t xml:space="preserve">, the person who could be crucial in determining who walks into Number 10 in May. </w:t>
      </w:r>
    </w:p>
    <w:p w:rsidR="00761058" w:rsidRDefault="00761058" w:rsidP="00761058">
      <w:pPr>
        <w:jc w:val="both"/>
        <w:rPr>
          <w:rFonts w:ascii="Arial" w:hAnsi="Arial" w:cs="Arial"/>
          <w:sz w:val="24"/>
          <w:szCs w:val="24"/>
        </w:rPr>
      </w:pPr>
      <w:r>
        <w:rPr>
          <w:rFonts w:ascii="Arial" w:hAnsi="Arial" w:cs="Arial"/>
          <w:sz w:val="24"/>
          <w:szCs w:val="24"/>
        </w:rPr>
        <w:t> </w:t>
      </w:r>
    </w:p>
    <w:p w:rsidR="00761058" w:rsidRDefault="00761058" w:rsidP="00761058">
      <w:pPr>
        <w:jc w:val="both"/>
        <w:rPr>
          <w:rFonts w:ascii="Arial" w:hAnsi="Arial" w:cs="Arial"/>
          <w:sz w:val="24"/>
          <w:szCs w:val="24"/>
        </w:rPr>
      </w:pPr>
      <w:r>
        <w:rPr>
          <w:rFonts w:ascii="Arial" w:hAnsi="Arial" w:cs="Arial"/>
          <w:sz w:val="24"/>
          <w:szCs w:val="24"/>
        </w:rPr>
        <w:t xml:space="preserve">Nigel </w:t>
      </w:r>
      <w:proofErr w:type="spellStart"/>
      <w:r>
        <w:rPr>
          <w:rFonts w:ascii="Arial" w:hAnsi="Arial" w:cs="Arial"/>
          <w:sz w:val="24"/>
          <w:szCs w:val="24"/>
        </w:rPr>
        <w:t>Dodds</w:t>
      </w:r>
      <w:proofErr w:type="spellEnd"/>
      <w:r>
        <w:rPr>
          <w:rFonts w:ascii="Arial" w:hAnsi="Arial" w:cs="Arial"/>
          <w:sz w:val="24"/>
          <w:szCs w:val="24"/>
        </w:rPr>
        <w:t xml:space="preserve"> MP is the Westminster leader of the Democratic Unionist Party (DUP).  The DUP are the largest party in Northern Ireland and currently hold eight seats in the House of Commons, making them the fourth largest party in Westminster.</w:t>
      </w:r>
    </w:p>
    <w:p w:rsidR="00761058" w:rsidRDefault="00761058" w:rsidP="00761058">
      <w:pPr>
        <w:jc w:val="both"/>
        <w:rPr>
          <w:rFonts w:ascii="Arial" w:hAnsi="Arial" w:cs="Arial"/>
          <w:sz w:val="24"/>
          <w:szCs w:val="24"/>
        </w:rPr>
      </w:pPr>
      <w:r>
        <w:rPr>
          <w:rFonts w:ascii="Arial" w:hAnsi="Arial" w:cs="Arial"/>
          <w:sz w:val="24"/>
          <w:szCs w:val="24"/>
        </w:rPr>
        <w:t> </w:t>
      </w:r>
    </w:p>
    <w:p w:rsidR="00761058" w:rsidRDefault="00761058" w:rsidP="00761058">
      <w:pPr>
        <w:jc w:val="both"/>
        <w:rPr>
          <w:rFonts w:ascii="Arial" w:hAnsi="Arial" w:cs="Arial"/>
          <w:sz w:val="24"/>
          <w:szCs w:val="24"/>
        </w:rPr>
      </w:pPr>
      <w:r>
        <w:rPr>
          <w:rFonts w:ascii="Arial" w:hAnsi="Arial" w:cs="Arial"/>
          <w:sz w:val="24"/>
          <w:szCs w:val="24"/>
        </w:rPr>
        <w:t xml:space="preserve">In anticipation of the important role his party may play in May, Mr </w:t>
      </w:r>
      <w:proofErr w:type="spellStart"/>
      <w:r>
        <w:rPr>
          <w:rFonts w:ascii="Arial" w:hAnsi="Arial" w:cs="Arial"/>
          <w:sz w:val="24"/>
          <w:szCs w:val="24"/>
        </w:rPr>
        <w:t>Dodds</w:t>
      </w:r>
      <w:proofErr w:type="spellEnd"/>
      <w:r>
        <w:rPr>
          <w:rFonts w:ascii="Arial" w:hAnsi="Arial" w:cs="Arial"/>
          <w:sz w:val="24"/>
          <w:szCs w:val="24"/>
        </w:rPr>
        <w:t>, the supposed unknown, has already outlined his party’s demands from a government partner and hasn’t ruled out working with Labour or the Conservatives. In an interview last month, he said he would want Ed Miliband to offer a referendum on Europe and David Cameron to reverse the bedroom tax, should they wish to go into partnership to lead the country. He has also stated any future government needs to commit spending a minimum of 2% of GDP on defence.</w:t>
      </w:r>
    </w:p>
    <w:p w:rsidR="00761058" w:rsidRDefault="00761058" w:rsidP="00761058">
      <w:pPr>
        <w:jc w:val="both"/>
        <w:rPr>
          <w:rFonts w:ascii="Arial" w:hAnsi="Arial" w:cs="Arial"/>
          <w:sz w:val="24"/>
          <w:szCs w:val="24"/>
        </w:rPr>
      </w:pPr>
      <w:r>
        <w:rPr>
          <w:rFonts w:ascii="Arial" w:hAnsi="Arial" w:cs="Arial"/>
          <w:sz w:val="24"/>
          <w:szCs w:val="24"/>
        </w:rPr>
        <w:t> </w:t>
      </w:r>
    </w:p>
    <w:p w:rsidR="00761058" w:rsidRDefault="00761058" w:rsidP="00761058">
      <w:pPr>
        <w:jc w:val="both"/>
        <w:rPr>
          <w:rFonts w:ascii="Arial" w:hAnsi="Arial" w:cs="Arial"/>
          <w:sz w:val="24"/>
          <w:szCs w:val="24"/>
        </w:rPr>
      </w:pPr>
      <w:r>
        <w:rPr>
          <w:rFonts w:ascii="Arial" w:hAnsi="Arial" w:cs="Arial"/>
          <w:sz w:val="24"/>
          <w:szCs w:val="24"/>
        </w:rPr>
        <w:t xml:space="preserve">The poll, conducted before the recent seven way TV debate, also showed that Leanne Wood, the Plaid </w:t>
      </w:r>
      <w:proofErr w:type="spellStart"/>
      <w:r>
        <w:rPr>
          <w:rFonts w:ascii="Arial" w:hAnsi="Arial" w:cs="Arial"/>
          <w:sz w:val="24"/>
          <w:szCs w:val="24"/>
        </w:rPr>
        <w:t>Cymru</w:t>
      </w:r>
      <w:proofErr w:type="spellEnd"/>
      <w:r>
        <w:rPr>
          <w:rFonts w:ascii="Arial" w:hAnsi="Arial" w:cs="Arial"/>
          <w:sz w:val="24"/>
          <w:szCs w:val="24"/>
        </w:rPr>
        <w:t xml:space="preserve"> leader, is only recognised by 39% of the electorate and only half (50%) of Britons have heard of Green Party leader Natalie Bennett. However, after her recent interview gaffes, Natalie Bennett might breathe a sigh of relief about that.</w:t>
      </w:r>
    </w:p>
    <w:p w:rsidR="00761058" w:rsidRDefault="00761058" w:rsidP="00761058">
      <w:pPr>
        <w:rPr>
          <w:rFonts w:ascii="Arial" w:hAnsi="Arial" w:cs="Arial"/>
          <w:sz w:val="24"/>
          <w:szCs w:val="24"/>
        </w:rPr>
      </w:pPr>
      <w:r>
        <w:rPr>
          <w:rFonts w:ascii="Arial" w:hAnsi="Arial" w:cs="Arial"/>
          <w:sz w:val="24"/>
          <w:szCs w:val="24"/>
        </w:rPr>
        <w:t> </w:t>
      </w:r>
    </w:p>
    <w:p w:rsidR="00761058" w:rsidRDefault="00761058" w:rsidP="00761058">
      <w:pPr>
        <w:spacing w:after="240"/>
        <w:rPr>
          <w:rFonts w:ascii="Arial" w:hAnsi="Arial" w:cs="Arial"/>
          <w:sz w:val="24"/>
          <w:szCs w:val="24"/>
        </w:rPr>
      </w:pPr>
      <w:r>
        <w:rPr>
          <w:rFonts w:ascii="Arial" w:hAnsi="Arial" w:cs="Arial"/>
          <w:b/>
          <w:bCs/>
          <w:sz w:val="24"/>
          <w:szCs w:val="24"/>
        </w:rPr>
        <w:t>Quintin Oliver of Stratagem said:</w:t>
      </w:r>
    </w:p>
    <w:p w:rsidR="00761058" w:rsidRDefault="00761058" w:rsidP="00761058">
      <w:pPr>
        <w:rPr>
          <w:rFonts w:ascii="Arial" w:hAnsi="Arial" w:cs="Arial"/>
          <w:sz w:val="24"/>
          <w:szCs w:val="24"/>
        </w:rPr>
      </w:pPr>
      <w:r>
        <w:rPr>
          <w:rFonts w:ascii="Arial" w:hAnsi="Arial" w:cs="Arial"/>
          <w:i/>
          <w:iCs/>
          <w:sz w:val="24"/>
          <w:szCs w:val="24"/>
        </w:rPr>
        <w:t>“It's unusual for our MPs to enjoy the balance of power in this way</w:t>
      </w:r>
      <w:proofErr w:type="gramStart"/>
      <w:r>
        <w:rPr>
          <w:rFonts w:ascii="Arial" w:hAnsi="Arial" w:cs="Arial"/>
          <w:i/>
          <w:iCs/>
          <w:sz w:val="24"/>
          <w:szCs w:val="24"/>
        </w:rPr>
        <w:t>. '</w:t>
      </w:r>
      <w:proofErr w:type="gramEnd"/>
      <w:r>
        <w:rPr>
          <w:rFonts w:ascii="Arial" w:hAnsi="Arial" w:cs="Arial"/>
          <w:i/>
          <w:iCs/>
          <w:sz w:val="24"/>
          <w:szCs w:val="24"/>
        </w:rPr>
        <w:t xml:space="preserve">Our Nigel' rather than the 'other Nigel' (Farage) will negotiate robustly and hard with his eight to ten votes. </w:t>
      </w:r>
    </w:p>
    <w:p w:rsidR="00761058" w:rsidRDefault="00761058" w:rsidP="00761058">
      <w:pPr>
        <w:rPr>
          <w:rFonts w:ascii="Arial" w:hAnsi="Arial" w:cs="Arial"/>
          <w:sz w:val="24"/>
          <w:szCs w:val="24"/>
        </w:rPr>
      </w:pPr>
      <w:r>
        <w:rPr>
          <w:rFonts w:ascii="Arial" w:hAnsi="Arial" w:cs="Arial"/>
          <w:i/>
          <w:iCs/>
          <w:sz w:val="24"/>
          <w:szCs w:val="24"/>
        </w:rPr>
        <w:t> </w:t>
      </w:r>
    </w:p>
    <w:p w:rsidR="00761058" w:rsidRDefault="00761058" w:rsidP="00761058">
      <w:pPr>
        <w:rPr>
          <w:rFonts w:ascii="Arial" w:hAnsi="Arial" w:cs="Arial"/>
          <w:sz w:val="24"/>
          <w:szCs w:val="24"/>
        </w:rPr>
      </w:pPr>
      <w:r>
        <w:rPr>
          <w:rFonts w:ascii="Arial" w:hAnsi="Arial" w:cs="Arial"/>
          <w:i/>
          <w:iCs/>
          <w:sz w:val="24"/>
          <w:szCs w:val="24"/>
        </w:rPr>
        <w:t>“The UK people and media had better get to know his policies pretty fast!”</w:t>
      </w:r>
    </w:p>
    <w:p w:rsidR="00761058" w:rsidRDefault="00761058" w:rsidP="00761058">
      <w:pPr>
        <w:rPr>
          <w:rFonts w:ascii="Arial" w:hAnsi="Arial" w:cs="Arial"/>
          <w:b/>
          <w:bCs/>
          <w:color w:val="1F497D"/>
          <w:sz w:val="24"/>
          <w:szCs w:val="24"/>
        </w:rPr>
      </w:pPr>
    </w:p>
    <w:p w:rsidR="00761058" w:rsidRDefault="00761058" w:rsidP="00761058">
      <w:pPr>
        <w:rPr>
          <w:rFonts w:ascii="Arial" w:hAnsi="Arial" w:cs="Arial"/>
          <w:sz w:val="24"/>
          <w:szCs w:val="24"/>
        </w:rPr>
      </w:pPr>
      <w:r>
        <w:rPr>
          <w:rFonts w:ascii="Arial" w:hAnsi="Arial" w:cs="Arial"/>
          <w:b/>
          <w:bCs/>
          <w:sz w:val="24"/>
          <w:szCs w:val="24"/>
        </w:rPr>
        <w:t xml:space="preserve">Elin </w:t>
      </w:r>
      <w:proofErr w:type="spellStart"/>
      <w:r>
        <w:rPr>
          <w:rFonts w:ascii="Arial" w:hAnsi="Arial" w:cs="Arial"/>
          <w:b/>
          <w:bCs/>
          <w:sz w:val="24"/>
          <w:szCs w:val="24"/>
        </w:rPr>
        <w:t>Twigge</w:t>
      </w:r>
      <w:proofErr w:type="spellEnd"/>
      <w:r>
        <w:rPr>
          <w:rFonts w:ascii="Arial" w:hAnsi="Arial" w:cs="Arial"/>
          <w:b/>
          <w:bCs/>
          <w:sz w:val="24"/>
          <w:szCs w:val="24"/>
        </w:rPr>
        <w:t>, Deputy Managing Director of PLMR, added:</w:t>
      </w:r>
    </w:p>
    <w:p w:rsidR="00761058" w:rsidRDefault="00761058" w:rsidP="00761058">
      <w:pPr>
        <w:rPr>
          <w:rFonts w:ascii="Arial" w:hAnsi="Arial" w:cs="Arial"/>
          <w:sz w:val="24"/>
          <w:szCs w:val="24"/>
        </w:rPr>
      </w:pPr>
      <w:r>
        <w:rPr>
          <w:rFonts w:ascii="Arial" w:hAnsi="Arial" w:cs="Arial"/>
          <w:b/>
          <w:bCs/>
          <w:sz w:val="24"/>
          <w:szCs w:val="24"/>
        </w:rPr>
        <w:t> </w:t>
      </w:r>
    </w:p>
    <w:p w:rsidR="00761058" w:rsidRDefault="00761058" w:rsidP="00761058">
      <w:pPr>
        <w:rPr>
          <w:rFonts w:ascii="Arial" w:hAnsi="Arial" w:cs="Arial"/>
          <w:sz w:val="24"/>
          <w:szCs w:val="24"/>
        </w:rPr>
      </w:pPr>
      <w:r>
        <w:rPr>
          <w:rFonts w:ascii="Arial" w:hAnsi="Arial" w:cs="Arial"/>
          <w:i/>
          <w:iCs/>
          <w:sz w:val="24"/>
          <w:szCs w:val="24"/>
        </w:rPr>
        <w:t>“It says a lot about the fractured nature of British politics at the moment that someone who is largely unknown to the British public, may hold the keys to Downing Street for either David Cameron or Ed Miliband.</w:t>
      </w:r>
    </w:p>
    <w:p w:rsidR="00761058" w:rsidRDefault="00761058" w:rsidP="00761058">
      <w:pPr>
        <w:rPr>
          <w:rFonts w:ascii="Arial" w:hAnsi="Arial" w:cs="Arial"/>
          <w:sz w:val="24"/>
          <w:szCs w:val="24"/>
        </w:rPr>
      </w:pPr>
      <w:r>
        <w:rPr>
          <w:rFonts w:ascii="Arial" w:hAnsi="Arial" w:cs="Arial"/>
          <w:i/>
          <w:iCs/>
          <w:sz w:val="24"/>
          <w:szCs w:val="24"/>
        </w:rPr>
        <w:t> </w:t>
      </w:r>
    </w:p>
    <w:p w:rsidR="00761058" w:rsidRDefault="00761058" w:rsidP="00761058">
      <w:pPr>
        <w:rPr>
          <w:rFonts w:ascii="Arial" w:hAnsi="Arial" w:cs="Arial"/>
          <w:sz w:val="24"/>
          <w:szCs w:val="24"/>
        </w:rPr>
      </w:pPr>
      <w:r>
        <w:rPr>
          <w:rFonts w:ascii="Arial" w:hAnsi="Arial" w:cs="Arial"/>
          <w:i/>
          <w:iCs/>
          <w:sz w:val="24"/>
          <w:szCs w:val="24"/>
        </w:rPr>
        <w:t xml:space="preserve">“Nigel </w:t>
      </w:r>
      <w:proofErr w:type="spellStart"/>
      <w:r>
        <w:rPr>
          <w:rFonts w:ascii="Arial" w:hAnsi="Arial" w:cs="Arial"/>
          <w:i/>
          <w:iCs/>
          <w:sz w:val="24"/>
          <w:szCs w:val="24"/>
        </w:rPr>
        <w:t>Dodds</w:t>
      </w:r>
      <w:proofErr w:type="spellEnd"/>
      <w:r>
        <w:rPr>
          <w:rFonts w:ascii="Arial" w:hAnsi="Arial" w:cs="Arial"/>
          <w:i/>
          <w:iCs/>
          <w:sz w:val="24"/>
          <w:szCs w:val="24"/>
        </w:rPr>
        <w:t xml:space="preserve"> is a name we should all get used to and fast; in less than a month he could be the most important person in Westminster.”</w:t>
      </w:r>
    </w:p>
    <w:p w:rsidR="00761058" w:rsidRDefault="00761058" w:rsidP="00761058">
      <w:pPr>
        <w:rPr>
          <w:rFonts w:ascii="Arial" w:hAnsi="Arial" w:cs="Arial"/>
          <w:sz w:val="24"/>
          <w:szCs w:val="24"/>
        </w:rPr>
      </w:pPr>
      <w:r>
        <w:rPr>
          <w:rFonts w:ascii="Arial" w:hAnsi="Arial" w:cs="Arial"/>
          <w:sz w:val="24"/>
          <w:szCs w:val="24"/>
        </w:rPr>
        <w:t> </w:t>
      </w:r>
    </w:p>
    <w:p w:rsidR="00761058" w:rsidRDefault="00761058" w:rsidP="00761058">
      <w:pPr>
        <w:rPr>
          <w:rFonts w:ascii="Arial" w:hAnsi="Arial" w:cs="Arial"/>
          <w:sz w:val="24"/>
          <w:szCs w:val="24"/>
        </w:rPr>
      </w:pPr>
      <w:r>
        <w:rPr>
          <w:rFonts w:ascii="Arial" w:hAnsi="Arial" w:cs="Arial"/>
          <w:i/>
          <w:iCs/>
          <w:sz w:val="24"/>
          <w:szCs w:val="24"/>
        </w:rPr>
        <w:lastRenderedPageBreak/>
        <w:t> </w:t>
      </w:r>
    </w:p>
    <w:p w:rsidR="00761058" w:rsidRPr="00761058" w:rsidRDefault="00761058" w:rsidP="00761058">
      <w:pPr>
        <w:rPr>
          <w:rFonts w:ascii="Arial" w:hAnsi="Arial" w:cs="Arial"/>
          <w:sz w:val="24"/>
          <w:szCs w:val="24"/>
        </w:rPr>
      </w:pPr>
      <w:r>
        <w:rPr>
          <w:rFonts w:ascii="Arial" w:hAnsi="Arial" w:cs="Arial"/>
          <w:b/>
          <w:bCs/>
        </w:rPr>
        <w:t>Notes to Editors:</w:t>
      </w:r>
    </w:p>
    <w:p w:rsidR="00761058" w:rsidRDefault="00761058" w:rsidP="00761058">
      <w:pPr>
        <w:ind w:left="720"/>
        <w:rPr>
          <w:rFonts w:ascii="Arial" w:hAnsi="Arial" w:cs="Arial"/>
        </w:rPr>
      </w:pPr>
    </w:p>
    <w:p w:rsidR="00761058" w:rsidRDefault="00761058" w:rsidP="00761058">
      <w:pPr>
        <w:pStyle w:val="ListParagraph"/>
        <w:spacing w:before="0" w:after="0" w:line="240" w:lineRule="auto"/>
        <w:ind w:left="1077" w:hanging="357"/>
        <w:rPr>
          <w:rFonts w:ascii="Arial" w:hAnsi="Arial" w:cs="Arial"/>
          <w:sz w:val="22"/>
          <w:szCs w:val="22"/>
        </w:rPr>
      </w:pPr>
      <w:r>
        <w:rPr>
          <w:rFonts w:ascii="Symbol" w:hAnsi="Symbol"/>
          <w:sz w:val="22"/>
          <w:szCs w:val="22"/>
        </w:rPr>
        <w:t></w:t>
      </w:r>
      <w:r>
        <w:rPr>
          <w:rFonts w:ascii="Times New Roman" w:hAnsi="Times New Roman"/>
          <w:sz w:val="14"/>
          <w:szCs w:val="14"/>
        </w:rPr>
        <w:t xml:space="preserve">         </w:t>
      </w:r>
      <w:proofErr w:type="gramStart"/>
      <w:r>
        <w:rPr>
          <w:rFonts w:ascii="Arial" w:hAnsi="Arial" w:cs="Arial"/>
          <w:sz w:val="22"/>
          <w:szCs w:val="22"/>
        </w:rPr>
        <w:t>For</w:t>
      </w:r>
      <w:proofErr w:type="gramEnd"/>
      <w:r>
        <w:rPr>
          <w:rFonts w:ascii="Arial" w:hAnsi="Arial" w:cs="Arial"/>
          <w:sz w:val="22"/>
          <w:szCs w:val="22"/>
        </w:rPr>
        <w:t xml:space="preserve"> more information please contact Quintin Oliver at Stratagem on 07785278927</w:t>
      </w:r>
    </w:p>
    <w:p w:rsidR="00761058" w:rsidRDefault="00761058" w:rsidP="00761058">
      <w:pPr>
        <w:pStyle w:val="ListParagraph"/>
        <w:spacing w:before="0" w:after="0" w:line="240" w:lineRule="auto"/>
        <w:ind w:left="1077" w:hanging="357"/>
        <w:rPr>
          <w:rFonts w:ascii="Arial" w:hAnsi="Arial" w:cs="Arial"/>
          <w:sz w:val="22"/>
          <w:szCs w:val="22"/>
        </w:rPr>
      </w:pPr>
      <w:r>
        <w:rPr>
          <w:rFonts w:ascii="Symbol" w:hAnsi="Symbol"/>
          <w:sz w:val="22"/>
          <w:szCs w:val="22"/>
        </w:rPr>
        <w:t></w:t>
      </w:r>
      <w:r>
        <w:rPr>
          <w:rFonts w:ascii="Times New Roman" w:hAnsi="Times New Roman"/>
          <w:sz w:val="14"/>
          <w:szCs w:val="14"/>
        </w:rPr>
        <w:t xml:space="preserve">         </w:t>
      </w:r>
      <w:r>
        <w:rPr>
          <w:rFonts w:ascii="Arial" w:hAnsi="Arial" w:cs="Arial"/>
          <w:sz w:val="22"/>
          <w:szCs w:val="22"/>
        </w:rPr>
        <w:t xml:space="preserve">Stratagem is a public affairs consultancy based in Belfast.  Set up in 1998, Stratagem was the first dedicated political lobbying company in Northern Ireland. </w:t>
      </w:r>
    </w:p>
    <w:p w:rsidR="00761058" w:rsidRDefault="00761058" w:rsidP="00761058">
      <w:pPr>
        <w:pStyle w:val="ListParagraph"/>
        <w:spacing w:before="0" w:after="0" w:line="240" w:lineRule="auto"/>
        <w:ind w:left="1080" w:hanging="357"/>
        <w:rPr>
          <w:rFonts w:ascii="Arial" w:hAnsi="Arial" w:cs="Arial"/>
          <w:sz w:val="22"/>
          <w:szCs w:val="22"/>
        </w:rPr>
      </w:pPr>
      <w:r>
        <w:rPr>
          <w:rFonts w:ascii="Symbol" w:hAnsi="Symbol"/>
          <w:sz w:val="22"/>
          <w:szCs w:val="22"/>
        </w:rPr>
        <w:t></w:t>
      </w:r>
      <w:r>
        <w:rPr>
          <w:rFonts w:ascii="Times New Roman" w:hAnsi="Times New Roman"/>
          <w:sz w:val="14"/>
          <w:szCs w:val="14"/>
        </w:rPr>
        <w:t xml:space="preserve">         </w:t>
      </w:r>
      <w:r>
        <w:rPr>
          <w:rFonts w:ascii="Arial" w:hAnsi="Arial" w:cs="Arial"/>
          <w:sz w:val="22"/>
          <w:szCs w:val="22"/>
        </w:rPr>
        <w:t>PLMR (Political Lobbying and Media Relations) is an award winning British public affairs and PR agency. PLMR is headquartered in Westminster, London.</w:t>
      </w:r>
    </w:p>
    <w:p w:rsidR="00761058" w:rsidRDefault="00761058" w:rsidP="00761058">
      <w:pPr>
        <w:pStyle w:val="ListParagraph"/>
        <w:spacing w:before="0" w:after="0" w:line="240" w:lineRule="auto"/>
        <w:ind w:left="1080" w:hanging="360"/>
        <w:rPr>
          <w:rFonts w:ascii="Arial" w:hAnsi="Arial" w:cs="Arial"/>
          <w:i/>
          <w:iCs/>
          <w:sz w:val="22"/>
          <w:szCs w:val="22"/>
        </w:rPr>
      </w:pPr>
      <w:r>
        <w:rPr>
          <w:rFonts w:ascii="Symbol" w:hAnsi="Symbol"/>
          <w:sz w:val="22"/>
          <w:szCs w:val="22"/>
        </w:rPr>
        <w:t></w:t>
      </w:r>
      <w:r>
        <w:rPr>
          <w:rFonts w:ascii="Times New Roman" w:hAnsi="Times New Roman"/>
          <w:sz w:val="14"/>
          <w:szCs w:val="14"/>
        </w:rPr>
        <w:t xml:space="preserve">         </w:t>
      </w:r>
      <w:r>
        <w:rPr>
          <w:rFonts w:ascii="Arial" w:hAnsi="Arial" w:cs="Arial"/>
          <w:sz w:val="22"/>
          <w:szCs w:val="22"/>
        </w:rPr>
        <w:t>Methodology:</w:t>
      </w:r>
      <w:r>
        <w:rPr>
          <w:rFonts w:ascii="Arial" w:hAnsi="Arial" w:cs="Arial"/>
          <w:b/>
          <w:bCs/>
          <w:sz w:val="22"/>
          <w:szCs w:val="22"/>
        </w:rPr>
        <w:t xml:space="preserve"> </w:t>
      </w:r>
      <w:proofErr w:type="spellStart"/>
      <w:r>
        <w:rPr>
          <w:rFonts w:ascii="Arial" w:hAnsi="Arial" w:cs="Arial"/>
          <w:sz w:val="22"/>
          <w:szCs w:val="22"/>
        </w:rPr>
        <w:t>ComRes</w:t>
      </w:r>
      <w:proofErr w:type="spellEnd"/>
      <w:r>
        <w:rPr>
          <w:rFonts w:ascii="Arial" w:hAnsi="Arial" w:cs="Arial"/>
          <w:sz w:val="22"/>
          <w:szCs w:val="22"/>
        </w:rPr>
        <w:t xml:space="preserve"> interviewed 2,057 British adults online between 31st March and 1st April 2015. Data were weighted to be representative of all GB adults aged 18+. </w:t>
      </w:r>
      <w:proofErr w:type="spellStart"/>
      <w:r>
        <w:rPr>
          <w:rFonts w:ascii="Arial" w:hAnsi="Arial" w:cs="Arial"/>
          <w:sz w:val="22"/>
          <w:szCs w:val="22"/>
        </w:rPr>
        <w:t>ComRes</w:t>
      </w:r>
      <w:proofErr w:type="spellEnd"/>
      <w:r>
        <w:rPr>
          <w:rFonts w:ascii="Arial" w:hAnsi="Arial" w:cs="Arial"/>
          <w:sz w:val="22"/>
          <w:szCs w:val="22"/>
        </w:rPr>
        <w:t xml:space="preserve"> is a member of the British Polling Council and abides by its rules </w:t>
      </w:r>
      <w:r>
        <w:rPr>
          <w:rFonts w:ascii="Arial" w:hAnsi="Arial" w:cs="Arial"/>
          <w:i/>
          <w:iCs/>
          <w:sz w:val="22"/>
          <w:szCs w:val="22"/>
        </w:rPr>
        <w:t> </w:t>
      </w:r>
    </w:p>
    <w:p w:rsidR="00761058" w:rsidRDefault="00761058" w:rsidP="00761058">
      <w:pPr>
        <w:rPr>
          <w:rFonts w:ascii="Arial" w:hAnsi="Arial" w:cs="Arial"/>
          <w:sz w:val="24"/>
          <w:szCs w:val="24"/>
        </w:rPr>
      </w:pPr>
      <w:r>
        <w:rPr>
          <w:rFonts w:ascii="Arial" w:hAnsi="Arial" w:cs="Arial"/>
          <w:b/>
          <w:bCs/>
          <w:sz w:val="24"/>
          <w:szCs w:val="24"/>
        </w:rPr>
        <w:br/>
        <w:t>Poll results:</w:t>
      </w:r>
    </w:p>
    <w:p w:rsidR="00761058" w:rsidRDefault="00761058" w:rsidP="00761058">
      <w:pPr>
        <w:rPr>
          <w:rFonts w:ascii="Arial" w:hAnsi="Arial" w:cs="Arial"/>
          <w:sz w:val="24"/>
          <w:szCs w:val="24"/>
        </w:rPr>
      </w:pPr>
      <w:r>
        <w:rPr>
          <w:rFonts w:ascii="Arial" w:hAnsi="Arial" w:cs="Arial"/>
          <w:b/>
          <w:bCs/>
          <w:sz w:val="24"/>
          <w:szCs w:val="24"/>
        </w:rPr>
        <w:t> </w:t>
      </w:r>
      <w:r>
        <w:rPr>
          <w:rFonts w:ascii="Arial" w:hAnsi="Arial" w:cs="Arial"/>
          <w:i/>
          <w:iCs/>
          <w:sz w:val="24"/>
          <w:szCs w:val="24"/>
        </w:rPr>
        <w:t>Q. How much, if at all, do you feel you know about each of the following politicians?</w:t>
      </w:r>
    </w:p>
    <w:p w:rsidR="00761058" w:rsidRDefault="00761058" w:rsidP="00761058">
      <w:pPr>
        <w:jc w:val="both"/>
        <w:rPr>
          <w:rFonts w:ascii="Arial" w:hAnsi="Arial" w:cs="Arial"/>
          <w:sz w:val="24"/>
          <w:szCs w:val="24"/>
        </w:rPr>
      </w:pPr>
      <w:r>
        <w:rPr>
          <w:rFonts w:ascii="Arial" w:hAnsi="Arial" w:cs="Arial"/>
          <w:i/>
          <w:iCs/>
          <w:sz w:val="24"/>
          <w:szCs w:val="24"/>
        </w:rPr>
        <w:t> </w:t>
      </w:r>
    </w:p>
    <w:tbl>
      <w:tblPr>
        <w:tblW w:w="8821" w:type="dxa"/>
        <w:jc w:val="center"/>
        <w:tblCellMar>
          <w:left w:w="0" w:type="dxa"/>
          <w:right w:w="0" w:type="dxa"/>
        </w:tblCellMar>
        <w:tblLook w:val="04A0" w:firstRow="1" w:lastRow="0" w:firstColumn="1" w:lastColumn="0" w:noHBand="0" w:noVBand="1"/>
      </w:tblPr>
      <w:tblGrid>
        <w:gridCol w:w="1322"/>
        <w:gridCol w:w="992"/>
        <w:gridCol w:w="1709"/>
        <w:gridCol w:w="1753"/>
        <w:gridCol w:w="1855"/>
        <w:gridCol w:w="1190"/>
      </w:tblGrid>
      <w:tr w:rsidR="00761058" w:rsidTr="00761058">
        <w:trPr>
          <w:trHeight w:val="177"/>
          <w:jc w:val="center"/>
        </w:trPr>
        <w:tc>
          <w:tcPr>
            <w:tcW w:w="0" w:type="auto"/>
            <w:tcBorders>
              <w:top w:val="single" w:sz="18" w:space="0" w:color="auto"/>
              <w:left w:val="nil"/>
              <w:bottom w:val="single" w:sz="18" w:space="0" w:color="auto"/>
              <w:right w:val="nil"/>
            </w:tcBorders>
            <w:shd w:val="clear" w:color="auto" w:fill="002060"/>
            <w:tcMar>
              <w:top w:w="0" w:type="dxa"/>
              <w:left w:w="108" w:type="dxa"/>
              <w:bottom w:w="0" w:type="dxa"/>
              <w:right w:w="108" w:type="dxa"/>
            </w:tcMar>
            <w:vAlign w:val="center"/>
            <w:hideMark/>
          </w:tcPr>
          <w:p w:rsidR="00761058" w:rsidRDefault="00761058">
            <w:pPr>
              <w:spacing w:after="200" w:line="177" w:lineRule="atLeast"/>
              <w:jc w:val="both"/>
              <w:rPr>
                <w:rFonts w:ascii="Arial" w:hAnsi="Arial" w:cs="Arial"/>
                <w:sz w:val="20"/>
                <w:szCs w:val="20"/>
              </w:rPr>
            </w:pPr>
            <w:r>
              <w:rPr>
                <w:rFonts w:ascii="Arial" w:hAnsi="Arial" w:cs="Arial"/>
                <w:b/>
                <w:bCs/>
                <w:sz w:val="20"/>
                <w:szCs w:val="20"/>
              </w:rPr>
              <w:t>Statement</w:t>
            </w:r>
          </w:p>
        </w:tc>
        <w:tc>
          <w:tcPr>
            <w:tcW w:w="0" w:type="auto"/>
            <w:tcBorders>
              <w:top w:val="single" w:sz="18" w:space="0" w:color="auto"/>
              <w:left w:val="nil"/>
              <w:bottom w:val="single" w:sz="18" w:space="0" w:color="auto"/>
              <w:right w:val="nil"/>
            </w:tcBorders>
            <w:shd w:val="clear" w:color="auto" w:fill="002060"/>
            <w:tcMar>
              <w:top w:w="0" w:type="dxa"/>
              <w:left w:w="108" w:type="dxa"/>
              <w:bottom w:w="0" w:type="dxa"/>
              <w:right w:w="108" w:type="dxa"/>
            </w:tcMar>
            <w:vAlign w:val="center"/>
            <w:hideMark/>
          </w:tcPr>
          <w:p w:rsidR="00761058" w:rsidRDefault="00761058">
            <w:pPr>
              <w:spacing w:after="200" w:line="177" w:lineRule="atLeast"/>
              <w:jc w:val="center"/>
              <w:rPr>
                <w:rFonts w:ascii="Arial" w:hAnsi="Arial" w:cs="Arial"/>
                <w:sz w:val="20"/>
                <w:szCs w:val="20"/>
              </w:rPr>
            </w:pPr>
            <w:r>
              <w:rPr>
                <w:rFonts w:ascii="Arial" w:hAnsi="Arial" w:cs="Arial"/>
                <w:b/>
                <w:bCs/>
                <w:sz w:val="20"/>
                <w:szCs w:val="20"/>
              </w:rPr>
              <w:t>Net: Heard of</w:t>
            </w:r>
          </w:p>
        </w:tc>
        <w:tc>
          <w:tcPr>
            <w:tcW w:w="0" w:type="auto"/>
            <w:tcBorders>
              <w:top w:val="single" w:sz="18" w:space="0" w:color="auto"/>
              <w:left w:val="nil"/>
              <w:bottom w:val="single" w:sz="18" w:space="0" w:color="auto"/>
              <w:right w:val="nil"/>
            </w:tcBorders>
            <w:shd w:val="clear" w:color="auto" w:fill="002060"/>
            <w:tcMar>
              <w:top w:w="0" w:type="dxa"/>
              <w:left w:w="108" w:type="dxa"/>
              <w:bottom w:w="0" w:type="dxa"/>
              <w:right w:w="108" w:type="dxa"/>
            </w:tcMar>
            <w:hideMark/>
          </w:tcPr>
          <w:p w:rsidR="00761058" w:rsidRDefault="00761058">
            <w:pPr>
              <w:spacing w:after="200" w:line="177" w:lineRule="atLeast"/>
              <w:jc w:val="center"/>
              <w:rPr>
                <w:rFonts w:ascii="Arial" w:hAnsi="Arial" w:cs="Arial"/>
                <w:sz w:val="20"/>
                <w:szCs w:val="20"/>
              </w:rPr>
            </w:pPr>
            <w:r>
              <w:rPr>
                <w:rFonts w:ascii="Arial" w:hAnsi="Arial" w:cs="Arial"/>
                <w:sz w:val="20"/>
                <w:szCs w:val="20"/>
              </w:rPr>
              <w:t>Heard of them and know a lot about them</w:t>
            </w:r>
          </w:p>
        </w:tc>
        <w:tc>
          <w:tcPr>
            <w:tcW w:w="0" w:type="auto"/>
            <w:tcBorders>
              <w:top w:val="single" w:sz="18" w:space="0" w:color="auto"/>
              <w:left w:val="nil"/>
              <w:bottom w:val="single" w:sz="18" w:space="0" w:color="auto"/>
              <w:right w:val="nil"/>
            </w:tcBorders>
            <w:shd w:val="clear" w:color="auto" w:fill="002060"/>
            <w:tcMar>
              <w:top w:w="0" w:type="dxa"/>
              <w:left w:w="108" w:type="dxa"/>
              <w:bottom w:w="0" w:type="dxa"/>
              <w:right w:w="108" w:type="dxa"/>
            </w:tcMar>
            <w:hideMark/>
          </w:tcPr>
          <w:p w:rsidR="00761058" w:rsidRDefault="00761058">
            <w:pPr>
              <w:spacing w:after="200" w:line="177" w:lineRule="atLeast"/>
              <w:jc w:val="center"/>
              <w:rPr>
                <w:rFonts w:ascii="Arial" w:hAnsi="Arial" w:cs="Arial"/>
                <w:sz w:val="20"/>
                <w:szCs w:val="20"/>
              </w:rPr>
            </w:pPr>
            <w:r>
              <w:rPr>
                <w:rFonts w:ascii="Arial" w:hAnsi="Arial" w:cs="Arial"/>
                <w:sz w:val="20"/>
                <w:szCs w:val="20"/>
              </w:rPr>
              <w:t>Heard of them and know a little about them</w:t>
            </w:r>
          </w:p>
        </w:tc>
        <w:tc>
          <w:tcPr>
            <w:tcW w:w="0" w:type="auto"/>
            <w:tcBorders>
              <w:top w:val="single" w:sz="18" w:space="0" w:color="auto"/>
              <w:left w:val="nil"/>
              <w:bottom w:val="single" w:sz="18" w:space="0" w:color="auto"/>
              <w:right w:val="nil"/>
            </w:tcBorders>
            <w:shd w:val="clear" w:color="auto" w:fill="002060"/>
            <w:tcMar>
              <w:top w:w="0" w:type="dxa"/>
              <w:left w:w="108" w:type="dxa"/>
              <w:bottom w:w="0" w:type="dxa"/>
              <w:right w:w="108" w:type="dxa"/>
            </w:tcMar>
            <w:hideMark/>
          </w:tcPr>
          <w:p w:rsidR="00761058" w:rsidRDefault="00761058">
            <w:pPr>
              <w:spacing w:after="200" w:line="177" w:lineRule="atLeast"/>
              <w:jc w:val="center"/>
              <w:rPr>
                <w:rFonts w:ascii="Arial" w:hAnsi="Arial" w:cs="Arial"/>
                <w:sz w:val="20"/>
                <w:szCs w:val="20"/>
              </w:rPr>
            </w:pPr>
            <w:r>
              <w:rPr>
                <w:rFonts w:ascii="Arial" w:hAnsi="Arial" w:cs="Arial"/>
                <w:sz w:val="20"/>
                <w:szCs w:val="20"/>
              </w:rPr>
              <w:t>Heard of them but know nothing about them</w:t>
            </w:r>
          </w:p>
        </w:tc>
        <w:tc>
          <w:tcPr>
            <w:tcW w:w="0" w:type="auto"/>
            <w:tcBorders>
              <w:top w:val="single" w:sz="18" w:space="0" w:color="auto"/>
              <w:left w:val="nil"/>
              <w:bottom w:val="single" w:sz="18" w:space="0" w:color="auto"/>
              <w:right w:val="nil"/>
            </w:tcBorders>
            <w:shd w:val="clear" w:color="auto" w:fill="002060"/>
            <w:tcMar>
              <w:top w:w="0" w:type="dxa"/>
              <w:left w:w="108" w:type="dxa"/>
              <w:bottom w:w="0" w:type="dxa"/>
              <w:right w:w="108" w:type="dxa"/>
            </w:tcMar>
            <w:hideMark/>
          </w:tcPr>
          <w:p w:rsidR="00761058" w:rsidRDefault="00761058">
            <w:pPr>
              <w:spacing w:after="200" w:line="177" w:lineRule="atLeast"/>
              <w:jc w:val="center"/>
              <w:rPr>
                <w:rFonts w:ascii="Arial" w:hAnsi="Arial" w:cs="Arial"/>
                <w:sz w:val="20"/>
                <w:szCs w:val="20"/>
              </w:rPr>
            </w:pPr>
            <w:r>
              <w:rPr>
                <w:rFonts w:ascii="Arial" w:hAnsi="Arial" w:cs="Arial"/>
                <w:b/>
                <w:bCs/>
                <w:sz w:val="20"/>
                <w:szCs w:val="20"/>
              </w:rPr>
              <w:t>Never heard of them</w:t>
            </w:r>
          </w:p>
        </w:tc>
      </w:tr>
      <w:tr w:rsidR="00761058" w:rsidTr="00761058">
        <w:trPr>
          <w:trHeight w:val="352"/>
          <w:jc w:val="center"/>
        </w:trPr>
        <w:tc>
          <w:tcPr>
            <w:tcW w:w="0" w:type="auto"/>
            <w:shd w:val="clear" w:color="auto" w:fill="D8D8D8"/>
            <w:tcMar>
              <w:top w:w="0" w:type="dxa"/>
              <w:left w:w="108" w:type="dxa"/>
              <w:bottom w:w="0" w:type="dxa"/>
              <w:right w:w="108" w:type="dxa"/>
            </w:tcMar>
            <w:hideMark/>
          </w:tcPr>
          <w:p w:rsidR="00761058" w:rsidRDefault="00761058">
            <w:pPr>
              <w:spacing w:before="240" w:after="200" w:line="276" w:lineRule="auto"/>
              <w:rPr>
                <w:rFonts w:ascii="Arial" w:hAnsi="Arial" w:cs="Arial"/>
                <w:sz w:val="20"/>
                <w:szCs w:val="20"/>
              </w:rPr>
            </w:pPr>
            <w:r>
              <w:rPr>
                <w:rFonts w:ascii="Arial" w:hAnsi="Arial" w:cs="Arial"/>
                <w:sz w:val="20"/>
                <w:szCs w:val="20"/>
              </w:rPr>
              <w:t xml:space="preserve">Nigel </w:t>
            </w:r>
            <w:proofErr w:type="spellStart"/>
            <w:r>
              <w:rPr>
                <w:rFonts w:ascii="Arial" w:hAnsi="Arial" w:cs="Arial"/>
                <w:sz w:val="20"/>
                <w:szCs w:val="20"/>
              </w:rPr>
              <w:t>Dodds</w:t>
            </w:r>
            <w:proofErr w:type="spellEnd"/>
          </w:p>
        </w:tc>
        <w:tc>
          <w:tcPr>
            <w:tcW w:w="0" w:type="auto"/>
            <w:shd w:val="clear" w:color="auto" w:fill="D8D8D8"/>
            <w:tcMar>
              <w:top w:w="0" w:type="dxa"/>
              <w:left w:w="108" w:type="dxa"/>
              <w:bottom w:w="0" w:type="dxa"/>
              <w:right w:w="108" w:type="dxa"/>
            </w:tcMar>
            <w:vAlign w:val="cente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31%</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2%</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8%</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21%</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69%</w:t>
            </w:r>
          </w:p>
        </w:tc>
      </w:tr>
      <w:tr w:rsidR="00761058" w:rsidTr="00761058">
        <w:trPr>
          <w:trHeight w:val="352"/>
          <w:jc w:val="center"/>
        </w:trPr>
        <w:tc>
          <w:tcPr>
            <w:tcW w:w="0" w:type="auto"/>
            <w:tcMar>
              <w:top w:w="0" w:type="dxa"/>
              <w:left w:w="108" w:type="dxa"/>
              <w:bottom w:w="0" w:type="dxa"/>
              <w:right w:w="108" w:type="dxa"/>
            </w:tcMar>
            <w:hideMark/>
          </w:tcPr>
          <w:p w:rsidR="00761058" w:rsidRDefault="00761058">
            <w:pPr>
              <w:spacing w:before="240" w:after="200" w:line="276" w:lineRule="auto"/>
              <w:rPr>
                <w:rFonts w:ascii="Arial" w:hAnsi="Arial" w:cs="Arial"/>
                <w:sz w:val="20"/>
                <w:szCs w:val="20"/>
              </w:rPr>
            </w:pPr>
            <w:r>
              <w:rPr>
                <w:rFonts w:ascii="Arial" w:hAnsi="Arial" w:cs="Arial"/>
                <w:sz w:val="20"/>
                <w:szCs w:val="20"/>
              </w:rPr>
              <w:t>Caroline Lucas</w:t>
            </w:r>
          </w:p>
        </w:tc>
        <w:tc>
          <w:tcPr>
            <w:tcW w:w="0" w:type="auto"/>
            <w:tcMar>
              <w:top w:w="0" w:type="dxa"/>
              <w:left w:w="108" w:type="dxa"/>
              <w:bottom w:w="0" w:type="dxa"/>
              <w:right w:w="108" w:type="dxa"/>
            </w:tcMar>
            <w:vAlign w:val="cente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49%</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7%</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20%</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21%</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51%</w:t>
            </w:r>
          </w:p>
        </w:tc>
      </w:tr>
      <w:tr w:rsidR="00761058" w:rsidTr="00761058">
        <w:trPr>
          <w:trHeight w:val="352"/>
          <w:jc w:val="center"/>
        </w:trPr>
        <w:tc>
          <w:tcPr>
            <w:tcW w:w="0" w:type="auto"/>
            <w:shd w:val="clear" w:color="auto" w:fill="D8D8D8"/>
            <w:tcMar>
              <w:top w:w="0" w:type="dxa"/>
              <w:left w:w="108" w:type="dxa"/>
              <w:bottom w:w="0" w:type="dxa"/>
              <w:right w:w="108" w:type="dxa"/>
            </w:tcMar>
            <w:hideMark/>
          </w:tcPr>
          <w:p w:rsidR="00761058" w:rsidRDefault="00761058">
            <w:pPr>
              <w:spacing w:before="240" w:after="200" w:line="276" w:lineRule="auto"/>
              <w:rPr>
                <w:rFonts w:ascii="Arial" w:hAnsi="Arial" w:cs="Arial"/>
                <w:sz w:val="20"/>
                <w:szCs w:val="20"/>
              </w:rPr>
            </w:pPr>
            <w:r>
              <w:rPr>
                <w:rFonts w:ascii="Arial" w:hAnsi="Arial" w:cs="Arial"/>
                <w:sz w:val="20"/>
                <w:szCs w:val="20"/>
              </w:rPr>
              <w:t xml:space="preserve">David Cameron </w:t>
            </w:r>
          </w:p>
        </w:tc>
        <w:tc>
          <w:tcPr>
            <w:tcW w:w="0" w:type="auto"/>
            <w:shd w:val="clear" w:color="auto" w:fill="D8D8D8"/>
            <w:tcMar>
              <w:top w:w="0" w:type="dxa"/>
              <w:left w:w="108" w:type="dxa"/>
              <w:bottom w:w="0" w:type="dxa"/>
              <w:right w:w="108" w:type="dxa"/>
            </w:tcMar>
            <w:vAlign w:val="cente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99%</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67%</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27%</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5%</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1%</w:t>
            </w:r>
          </w:p>
        </w:tc>
      </w:tr>
      <w:tr w:rsidR="00761058" w:rsidTr="00761058">
        <w:trPr>
          <w:trHeight w:val="352"/>
          <w:jc w:val="center"/>
        </w:trPr>
        <w:tc>
          <w:tcPr>
            <w:tcW w:w="0" w:type="auto"/>
            <w:tcMar>
              <w:top w:w="0" w:type="dxa"/>
              <w:left w:w="108" w:type="dxa"/>
              <w:bottom w:w="0" w:type="dxa"/>
              <w:right w:w="108" w:type="dxa"/>
            </w:tcMar>
            <w:hideMark/>
          </w:tcPr>
          <w:p w:rsidR="00761058" w:rsidRDefault="00761058">
            <w:pPr>
              <w:spacing w:before="240" w:after="200" w:line="276" w:lineRule="auto"/>
              <w:rPr>
                <w:rFonts w:ascii="Arial" w:hAnsi="Arial" w:cs="Arial"/>
                <w:sz w:val="20"/>
                <w:szCs w:val="20"/>
              </w:rPr>
            </w:pPr>
            <w:r>
              <w:rPr>
                <w:rFonts w:ascii="Arial" w:hAnsi="Arial" w:cs="Arial"/>
                <w:sz w:val="20"/>
                <w:szCs w:val="20"/>
              </w:rPr>
              <w:t xml:space="preserve">Nick Clegg </w:t>
            </w:r>
          </w:p>
        </w:tc>
        <w:tc>
          <w:tcPr>
            <w:tcW w:w="0" w:type="auto"/>
            <w:tcMar>
              <w:top w:w="0" w:type="dxa"/>
              <w:left w:w="108" w:type="dxa"/>
              <w:bottom w:w="0" w:type="dxa"/>
              <w:right w:w="108" w:type="dxa"/>
            </w:tcMar>
            <w:vAlign w:val="cente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99%</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51%</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40%</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8%</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1%</w:t>
            </w:r>
          </w:p>
        </w:tc>
      </w:tr>
      <w:tr w:rsidR="00761058" w:rsidTr="00761058">
        <w:trPr>
          <w:trHeight w:val="352"/>
          <w:jc w:val="center"/>
        </w:trPr>
        <w:tc>
          <w:tcPr>
            <w:tcW w:w="0" w:type="auto"/>
            <w:shd w:val="clear" w:color="auto" w:fill="D8D8D8"/>
            <w:tcMar>
              <w:top w:w="0" w:type="dxa"/>
              <w:left w:w="108" w:type="dxa"/>
              <w:bottom w:w="0" w:type="dxa"/>
              <w:right w:w="108" w:type="dxa"/>
            </w:tcMar>
            <w:hideMark/>
          </w:tcPr>
          <w:p w:rsidR="00761058" w:rsidRDefault="00761058">
            <w:pPr>
              <w:spacing w:before="240" w:after="200" w:line="276" w:lineRule="auto"/>
              <w:rPr>
                <w:rFonts w:ascii="Arial" w:hAnsi="Arial" w:cs="Arial"/>
                <w:sz w:val="20"/>
                <w:szCs w:val="20"/>
              </w:rPr>
            </w:pPr>
            <w:r>
              <w:rPr>
                <w:rFonts w:ascii="Arial" w:hAnsi="Arial" w:cs="Arial"/>
                <w:sz w:val="20"/>
                <w:szCs w:val="20"/>
              </w:rPr>
              <w:t>Nigel Farage</w:t>
            </w:r>
          </w:p>
        </w:tc>
        <w:tc>
          <w:tcPr>
            <w:tcW w:w="0" w:type="auto"/>
            <w:shd w:val="clear" w:color="auto" w:fill="D8D8D8"/>
            <w:tcMar>
              <w:top w:w="0" w:type="dxa"/>
              <w:left w:w="108" w:type="dxa"/>
              <w:bottom w:w="0" w:type="dxa"/>
              <w:right w:w="108" w:type="dxa"/>
            </w:tcMar>
            <w:vAlign w:val="cente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97%</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46%</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42%</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8%</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3%</w:t>
            </w:r>
          </w:p>
        </w:tc>
      </w:tr>
      <w:tr w:rsidR="00761058" w:rsidTr="00761058">
        <w:trPr>
          <w:trHeight w:val="352"/>
          <w:jc w:val="center"/>
        </w:trPr>
        <w:tc>
          <w:tcPr>
            <w:tcW w:w="0" w:type="auto"/>
            <w:tcMar>
              <w:top w:w="0" w:type="dxa"/>
              <w:left w:w="108" w:type="dxa"/>
              <w:bottom w:w="0" w:type="dxa"/>
              <w:right w:w="108" w:type="dxa"/>
            </w:tcMar>
            <w:hideMark/>
          </w:tcPr>
          <w:p w:rsidR="00761058" w:rsidRDefault="00761058">
            <w:pPr>
              <w:spacing w:before="240" w:after="200" w:line="276" w:lineRule="auto"/>
              <w:rPr>
                <w:rFonts w:ascii="Arial" w:hAnsi="Arial" w:cs="Arial"/>
                <w:sz w:val="20"/>
                <w:szCs w:val="20"/>
              </w:rPr>
            </w:pPr>
            <w:r>
              <w:rPr>
                <w:rFonts w:ascii="Arial" w:hAnsi="Arial" w:cs="Arial"/>
                <w:sz w:val="20"/>
                <w:szCs w:val="20"/>
              </w:rPr>
              <w:t>Ed Miliband</w:t>
            </w:r>
          </w:p>
        </w:tc>
        <w:tc>
          <w:tcPr>
            <w:tcW w:w="0" w:type="auto"/>
            <w:tcMar>
              <w:top w:w="0" w:type="dxa"/>
              <w:left w:w="108" w:type="dxa"/>
              <w:bottom w:w="0" w:type="dxa"/>
              <w:right w:w="108" w:type="dxa"/>
            </w:tcMar>
            <w:vAlign w:val="cente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99%</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59%</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34%</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6%</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1%</w:t>
            </w:r>
          </w:p>
        </w:tc>
      </w:tr>
      <w:tr w:rsidR="00761058" w:rsidTr="00761058">
        <w:trPr>
          <w:trHeight w:val="352"/>
          <w:jc w:val="center"/>
        </w:trPr>
        <w:tc>
          <w:tcPr>
            <w:tcW w:w="0" w:type="auto"/>
            <w:shd w:val="clear" w:color="auto" w:fill="D8D8D8"/>
            <w:tcMar>
              <w:top w:w="0" w:type="dxa"/>
              <w:left w:w="108" w:type="dxa"/>
              <w:bottom w:w="0" w:type="dxa"/>
              <w:right w:w="108" w:type="dxa"/>
            </w:tcMar>
            <w:hideMark/>
          </w:tcPr>
          <w:p w:rsidR="00761058" w:rsidRDefault="00761058">
            <w:pPr>
              <w:spacing w:before="240" w:after="200" w:line="276" w:lineRule="auto"/>
              <w:rPr>
                <w:rFonts w:ascii="Arial" w:hAnsi="Arial" w:cs="Arial"/>
                <w:sz w:val="20"/>
                <w:szCs w:val="20"/>
              </w:rPr>
            </w:pPr>
            <w:r>
              <w:rPr>
                <w:rFonts w:ascii="Arial" w:hAnsi="Arial" w:cs="Arial"/>
                <w:sz w:val="20"/>
                <w:szCs w:val="20"/>
              </w:rPr>
              <w:t>Nicola Sturgeon</w:t>
            </w:r>
          </w:p>
        </w:tc>
        <w:tc>
          <w:tcPr>
            <w:tcW w:w="0" w:type="auto"/>
            <w:shd w:val="clear" w:color="auto" w:fill="D8D8D8"/>
            <w:tcMar>
              <w:top w:w="0" w:type="dxa"/>
              <w:left w:w="108" w:type="dxa"/>
              <w:bottom w:w="0" w:type="dxa"/>
              <w:right w:w="108" w:type="dxa"/>
            </w:tcMar>
            <w:vAlign w:val="cente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76%</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19%</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34%</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23%</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24%</w:t>
            </w:r>
          </w:p>
        </w:tc>
      </w:tr>
      <w:tr w:rsidR="00761058" w:rsidTr="00761058">
        <w:trPr>
          <w:trHeight w:val="352"/>
          <w:jc w:val="center"/>
        </w:trPr>
        <w:tc>
          <w:tcPr>
            <w:tcW w:w="0" w:type="auto"/>
            <w:tcMar>
              <w:top w:w="0" w:type="dxa"/>
              <w:left w:w="108" w:type="dxa"/>
              <w:bottom w:w="0" w:type="dxa"/>
              <w:right w:w="108" w:type="dxa"/>
            </w:tcMar>
            <w:hideMark/>
          </w:tcPr>
          <w:p w:rsidR="00761058" w:rsidRDefault="00761058">
            <w:pPr>
              <w:spacing w:before="240" w:after="200" w:line="276" w:lineRule="auto"/>
              <w:rPr>
                <w:rFonts w:ascii="Arial" w:hAnsi="Arial" w:cs="Arial"/>
                <w:sz w:val="20"/>
                <w:szCs w:val="20"/>
              </w:rPr>
            </w:pPr>
            <w:r>
              <w:rPr>
                <w:rFonts w:ascii="Arial" w:hAnsi="Arial" w:cs="Arial"/>
                <w:sz w:val="20"/>
                <w:szCs w:val="20"/>
              </w:rPr>
              <w:t>Leanne Wood</w:t>
            </w:r>
          </w:p>
        </w:tc>
        <w:tc>
          <w:tcPr>
            <w:tcW w:w="0" w:type="auto"/>
            <w:tcMar>
              <w:top w:w="0" w:type="dxa"/>
              <w:left w:w="108" w:type="dxa"/>
              <w:bottom w:w="0" w:type="dxa"/>
              <w:right w:w="108" w:type="dxa"/>
            </w:tcMar>
            <w:vAlign w:val="cente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39%</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2%</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14%</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23%</w:t>
            </w:r>
          </w:p>
        </w:tc>
        <w:tc>
          <w:tcPr>
            <w:tcW w:w="0" w:type="auto"/>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61%</w:t>
            </w:r>
          </w:p>
        </w:tc>
      </w:tr>
      <w:tr w:rsidR="00761058" w:rsidTr="00761058">
        <w:trPr>
          <w:trHeight w:val="352"/>
          <w:jc w:val="center"/>
        </w:trPr>
        <w:tc>
          <w:tcPr>
            <w:tcW w:w="0" w:type="auto"/>
            <w:shd w:val="clear" w:color="auto" w:fill="D8D8D8"/>
            <w:tcMar>
              <w:top w:w="0" w:type="dxa"/>
              <w:left w:w="108" w:type="dxa"/>
              <w:bottom w:w="0" w:type="dxa"/>
              <w:right w:w="108" w:type="dxa"/>
            </w:tcMar>
            <w:hideMark/>
          </w:tcPr>
          <w:p w:rsidR="00761058" w:rsidRDefault="00761058">
            <w:pPr>
              <w:spacing w:before="240" w:after="200" w:line="276" w:lineRule="auto"/>
              <w:rPr>
                <w:rFonts w:ascii="Arial" w:hAnsi="Arial" w:cs="Arial"/>
                <w:sz w:val="20"/>
                <w:szCs w:val="20"/>
              </w:rPr>
            </w:pPr>
            <w:r>
              <w:rPr>
                <w:rFonts w:ascii="Arial" w:hAnsi="Arial" w:cs="Arial"/>
                <w:sz w:val="20"/>
                <w:szCs w:val="20"/>
              </w:rPr>
              <w:t>Natalie Bennett</w:t>
            </w:r>
          </w:p>
        </w:tc>
        <w:tc>
          <w:tcPr>
            <w:tcW w:w="0" w:type="auto"/>
            <w:shd w:val="clear" w:color="auto" w:fill="D8D8D8"/>
            <w:tcMar>
              <w:top w:w="0" w:type="dxa"/>
              <w:left w:w="108" w:type="dxa"/>
              <w:bottom w:w="0" w:type="dxa"/>
              <w:right w:w="108" w:type="dxa"/>
            </w:tcMar>
            <w:vAlign w:val="cente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50%</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6%</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21%</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sz w:val="20"/>
                <w:szCs w:val="20"/>
              </w:rPr>
              <w:t>23%</w:t>
            </w:r>
          </w:p>
        </w:tc>
        <w:tc>
          <w:tcPr>
            <w:tcW w:w="0" w:type="auto"/>
            <w:shd w:val="clear" w:color="auto" w:fill="D8D8D8"/>
            <w:tcMar>
              <w:top w:w="0" w:type="dxa"/>
              <w:left w:w="108" w:type="dxa"/>
              <w:bottom w:w="0" w:type="dxa"/>
              <w:right w:w="108" w:type="dxa"/>
            </w:tcMar>
            <w:hideMark/>
          </w:tcPr>
          <w:p w:rsidR="00761058" w:rsidRDefault="00761058">
            <w:pPr>
              <w:spacing w:before="120" w:after="120" w:line="276" w:lineRule="auto"/>
              <w:jc w:val="center"/>
              <w:rPr>
                <w:rFonts w:ascii="Arial" w:hAnsi="Arial" w:cs="Arial"/>
                <w:sz w:val="20"/>
                <w:szCs w:val="20"/>
              </w:rPr>
            </w:pPr>
            <w:r>
              <w:rPr>
                <w:rFonts w:ascii="Arial" w:hAnsi="Arial" w:cs="Arial"/>
                <w:b/>
                <w:bCs/>
                <w:sz w:val="20"/>
                <w:szCs w:val="20"/>
              </w:rPr>
              <w:t>50%</w:t>
            </w:r>
          </w:p>
        </w:tc>
      </w:tr>
    </w:tbl>
    <w:p w:rsidR="00C354AE" w:rsidRPr="00761058" w:rsidRDefault="00761058" w:rsidP="00761058">
      <w:pPr>
        <w:pStyle w:val="ListParagraph"/>
        <w:ind w:left="360"/>
        <w:rPr>
          <w:rFonts w:ascii="Arial" w:hAnsi="Arial" w:cs="Arial"/>
        </w:rPr>
      </w:pPr>
      <w:r>
        <w:rPr>
          <w:rFonts w:ascii="Arial" w:hAnsi="Arial" w:cs="Arial"/>
          <w:i/>
          <w:iCs/>
          <w:sz w:val="20"/>
          <w:szCs w:val="20"/>
        </w:rPr>
        <w:t>(Base: 2,057 British adults)</w:t>
      </w:r>
      <w:bookmarkStart w:id="0" w:name="_GoBack"/>
      <w:bookmarkEnd w:id="0"/>
    </w:p>
    <w:sectPr w:rsidR="00C354AE" w:rsidRPr="00761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Q3Njc2MzQ2MTW0NLRQ0lEKTi0uzszPAykwrAUAFK9mKiwAAAA="/>
  </w:docVars>
  <w:rsids>
    <w:rsidRoot w:val="00761058"/>
    <w:rsid w:val="00761058"/>
    <w:rsid w:val="00C3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5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058"/>
    <w:pPr>
      <w:spacing w:before="240" w:after="240" w:line="276" w:lineRule="auto"/>
      <w:ind w:left="720"/>
    </w:pPr>
    <w:rPr>
      <w:rFonts w:ascii="Arial Narrow"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5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058"/>
    <w:pPr>
      <w:spacing w:before="240" w:after="240" w:line="276" w:lineRule="auto"/>
      <w:ind w:left="720"/>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0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Mercer</dc:creator>
  <cp:lastModifiedBy>Anna Mercer</cp:lastModifiedBy>
  <cp:revision>1</cp:revision>
  <dcterms:created xsi:type="dcterms:W3CDTF">2017-06-12T10:36:00Z</dcterms:created>
  <dcterms:modified xsi:type="dcterms:W3CDTF">2017-06-12T10:37:00Z</dcterms:modified>
</cp:coreProperties>
</file>